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3"/>
        <w:adjustRightInd w:val="0"/>
        <w:snapToGrid w:val="0"/>
        <w:spacing w:line="320" w:lineRule="atLeast"/>
        <w:ind w:firstLine="0" w:firstLineChars="0"/>
        <w:rPr>
          <w:rFonts w:ascii="黑体" w:hAnsi="黑体" w:eastAsia="黑体"/>
          <w:szCs w:val="21"/>
        </w:rPr>
      </w:pPr>
      <w:r>
        <w:rPr>
          <w:rFonts w:hint="eastAsia" w:ascii="黑体" w:hAnsi="黑体" w:eastAsia="黑体"/>
          <w:szCs w:val="21"/>
        </w:rPr>
        <w:t>五、案例分析题</w:t>
      </w:r>
    </w:p>
    <w:p>
      <w:pPr>
        <w:pStyle w:val="13"/>
        <w:numPr>
          <w:ilvl w:val="0"/>
          <w:numId w:val="1"/>
        </w:numPr>
        <w:adjustRightInd w:val="0"/>
        <w:snapToGrid w:val="0"/>
        <w:spacing w:line="320" w:lineRule="atLeast"/>
        <w:ind w:firstLineChars="0"/>
        <w:rPr>
          <w:szCs w:val="21"/>
          <w:highlight w:val="none"/>
        </w:rPr>
      </w:pPr>
      <w:r>
        <w:rPr>
          <w:rFonts w:hint="eastAsia"/>
          <w:szCs w:val="21"/>
          <w:highlight w:val="none"/>
        </w:rPr>
        <w:t>一艘新建造的</w:t>
      </w:r>
      <w:r>
        <w:rPr>
          <w:rFonts w:hint="eastAsia"/>
          <w:szCs w:val="21"/>
          <w:highlight w:val="none"/>
          <w:lang w:val="en-US" w:eastAsia="zh-CN"/>
        </w:rPr>
        <w:t>沿海</w:t>
      </w:r>
      <w:r>
        <w:rPr>
          <w:rFonts w:hint="eastAsia"/>
          <w:szCs w:val="21"/>
          <w:highlight w:val="none"/>
        </w:rPr>
        <w:t>流刺网渔船，总长</w:t>
      </w:r>
      <w:r>
        <w:rPr>
          <w:szCs w:val="21"/>
          <w:highlight w:val="none"/>
        </w:rPr>
        <w:t>12.80m</w:t>
      </w:r>
      <w:r>
        <w:rPr>
          <w:rFonts w:hint="eastAsia"/>
          <w:szCs w:val="21"/>
          <w:highlight w:val="none"/>
        </w:rPr>
        <w:t>，船长</w:t>
      </w:r>
      <w:r>
        <w:rPr>
          <w:szCs w:val="21"/>
          <w:highlight w:val="none"/>
        </w:rPr>
        <w:t>8.50m</w:t>
      </w:r>
      <w:r>
        <w:rPr>
          <w:rFonts w:hint="eastAsia"/>
          <w:szCs w:val="21"/>
          <w:highlight w:val="none"/>
        </w:rPr>
        <w:t>。考虑到该船比较小，又是在平静水域作业，为了该船储物方便，在距艏垂线</w:t>
      </w:r>
      <w:r>
        <w:rPr>
          <w:szCs w:val="21"/>
          <w:highlight w:val="none"/>
        </w:rPr>
        <w:t>1.2</w:t>
      </w:r>
      <w:r>
        <w:rPr>
          <w:rFonts w:hint="eastAsia"/>
          <w:szCs w:val="21"/>
          <w:highlight w:val="none"/>
          <w:lang w:val="en-US" w:eastAsia="zh-CN"/>
        </w:rPr>
        <w:t>0</w:t>
      </w:r>
      <w:r>
        <w:rPr>
          <w:szCs w:val="21"/>
          <w:highlight w:val="none"/>
        </w:rPr>
        <w:t>m</w:t>
      </w:r>
      <w:r>
        <w:rPr>
          <w:rFonts w:hint="eastAsia"/>
          <w:szCs w:val="21"/>
          <w:highlight w:val="none"/>
        </w:rPr>
        <w:t>处的防撞舱壁上开了个门。如果你是执行验船师，依据《国内海洋小型渔船法定检验技术规则（2019）》，对此门应做哪些要求？</w:t>
      </w:r>
    </w:p>
    <w:p>
      <w:pPr>
        <w:autoSpaceDE w:val="0"/>
        <w:autoSpaceDN w:val="0"/>
        <w:adjustRightInd w:val="0"/>
        <w:jc w:val="left"/>
        <w:rPr>
          <w:szCs w:val="21"/>
          <w:highlight w:val="none"/>
        </w:rPr>
      </w:pPr>
      <w:r>
        <w:rPr>
          <w:rFonts w:hint="eastAsia"/>
          <w:szCs w:val="21"/>
          <w:highlight w:val="none"/>
        </w:rPr>
        <w:t>答案：</w:t>
      </w:r>
    </w:p>
    <w:p>
      <w:pPr>
        <w:autoSpaceDE w:val="0"/>
        <w:autoSpaceDN w:val="0"/>
        <w:adjustRightInd w:val="0"/>
        <w:ind w:firstLine="420" w:firstLineChars="200"/>
        <w:jc w:val="left"/>
        <w:rPr>
          <w:rFonts w:hint="eastAsia"/>
          <w:szCs w:val="21"/>
          <w:highlight w:val="none"/>
        </w:rPr>
      </w:pPr>
      <w:r>
        <w:rPr>
          <w:rFonts w:hint="eastAsia"/>
          <w:szCs w:val="21"/>
          <w:highlight w:val="none"/>
        </w:rPr>
        <w:t>对此门应作的要求有：</w:t>
      </w:r>
    </w:p>
    <w:p>
      <w:pPr>
        <w:autoSpaceDE w:val="0"/>
        <w:autoSpaceDN w:val="0"/>
        <w:adjustRightInd w:val="0"/>
        <w:ind w:firstLine="420" w:firstLineChars="200"/>
        <w:jc w:val="left"/>
        <w:rPr>
          <w:szCs w:val="21"/>
          <w:highlight w:val="none"/>
        </w:rPr>
      </w:pPr>
      <w:r>
        <w:rPr>
          <w:rFonts w:hint="eastAsia"/>
          <w:szCs w:val="21"/>
          <w:highlight w:val="none"/>
        </w:rPr>
        <w:t>依据《国内海洋小型渔船法定检验技术规则（2019）》，防撞舱壁上不允许设置门，如开口必须是用螺栓固定的水密人孔盖。</w:t>
      </w:r>
    </w:p>
    <w:p>
      <w:pPr>
        <w:pStyle w:val="13"/>
        <w:numPr>
          <w:ilvl w:val="0"/>
          <w:numId w:val="1"/>
        </w:numPr>
        <w:autoSpaceDE w:val="0"/>
        <w:autoSpaceDN w:val="0"/>
        <w:adjustRightInd w:val="0"/>
        <w:ind w:firstLineChars="0"/>
        <w:jc w:val="left"/>
        <w:rPr>
          <w:szCs w:val="21"/>
          <w:highlight w:val="none"/>
        </w:rPr>
      </w:pPr>
      <w:r>
        <w:rPr>
          <w:rFonts w:hint="eastAsia"/>
          <w:szCs w:val="21"/>
          <w:highlight w:val="none"/>
        </w:rPr>
        <w:t>一艘钢质渔船，船长</w:t>
      </w:r>
      <w:r>
        <w:rPr>
          <w:szCs w:val="21"/>
          <w:highlight w:val="none"/>
        </w:rPr>
        <w:t>16.50m</w:t>
      </w:r>
      <w:r>
        <w:rPr>
          <w:rFonts w:hint="eastAsia"/>
          <w:szCs w:val="21"/>
          <w:highlight w:val="none"/>
        </w:rPr>
        <w:t>，</w:t>
      </w:r>
      <w:r>
        <w:rPr>
          <w:rFonts w:hint="eastAsia"/>
          <w:szCs w:val="21"/>
          <w:highlight w:val="none"/>
          <w:lang w:val="en-US" w:eastAsia="zh-CN"/>
        </w:rPr>
        <w:t>型</w:t>
      </w:r>
      <w:r>
        <w:rPr>
          <w:rFonts w:hint="eastAsia"/>
          <w:szCs w:val="21"/>
          <w:highlight w:val="none"/>
        </w:rPr>
        <w:t>宽</w:t>
      </w:r>
      <w:r>
        <w:rPr>
          <w:szCs w:val="21"/>
          <w:highlight w:val="none"/>
        </w:rPr>
        <w:t>4.65m</w:t>
      </w:r>
      <w:r>
        <w:rPr>
          <w:rFonts w:hint="eastAsia"/>
          <w:szCs w:val="21"/>
          <w:highlight w:val="none"/>
        </w:rPr>
        <w:t>，</w:t>
      </w:r>
      <w:r>
        <w:rPr>
          <w:rFonts w:hint="eastAsia"/>
          <w:szCs w:val="21"/>
          <w:highlight w:val="none"/>
          <w:lang w:val="en-US" w:eastAsia="zh-CN"/>
        </w:rPr>
        <w:t>型</w:t>
      </w:r>
      <w:r>
        <w:rPr>
          <w:rFonts w:hint="eastAsia"/>
          <w:szCs w:val="21"/>
          <w:highlight w:val="none"/>
        </w:rPr>
        <w:t>深</w:t>
      </w:r>
      <w:r>
        <w:rPr>
          <w:szCs w:val="21"/>
          <w:highlight w:val="none"/>
        </w:rPr>
        <w:t>1.60m</w:t>
      </w:r>
      <w:r>
        <w:rPr>
          <w:rFonts w:hint="eastAsia"/>
          <w:szCs w:val="21"/>
          <w:highlight w:val="none"/>
        </w:rPr>
        <w:t>，主机功率</w:t>
      </w:r>
      <w:r>
        <w:rPr>
          <w:szCs w:val="21"/>
          <w:highlight w:val="none"/>
        </w:rPr>
        <w:t>43kW</w:t>
      </w:r>
      <w:r>
        <w:rPr>
          <w:rFonts w:hint="eastAsia"/>
          <w:szCs w:val="21"/>
          <w:highlight w:val="none"/>
        </w:rPr>
        <w:t>，</w:t>
      </w:r>
      <w:r>
        <w:rPr>
          <w:rFonts w:hint="eastAsia"/>
          <w:szCs w:val="21"/>
          <w:highlight w:val="none"/>
          <w:lang w:val="en-US" w:eastAsia="zh-CN"/>
        </w:rPr>
        <w:t>开工建造</w:t>
      </w:r>
      <w:r>
        <w:rPr>
          <w:rFonts w:hint="eastAsia"/>
          <w:szCs w:val="21"/>
          <w:highlight w:val="none"/>
        </w:rPr>
        <w:t>日期为</w:t>
      </w:r>
      <w:r>
        <w:rPr>
          <w:szCs w:val="21"/>
          <w:highlight w:val="none"/>
        </w:rPr>
        <w:t>20</w:t>
      </w:r>
      <w:r>
        <w:rPr>
          <w:rFonts w:hint="eastAsia"/>
          <w:szCs w:val="21"/>
          <w:highlight w:val="none"/>
          <w:lang w:val="en-US" w:eastAsia="zh-CN"/>
        </w:rPr>
        <w:t>20</w:t>
      </w:r>
      <w:r>
        <w:rPr>
          <w:rFonts w:hint="eastAsia"/>
          <w:szCs w:val="21"/>
          <w:highlight w:val="none"/>
        </w:rPr>
        <w:t>年</w:t>
      </w:r>
      <w:r>
        <w:rPr>
          <w:szCs w:val="21"/>
          <w:highlight w:val="none"/>
        </w:rPr>
        <w:t>5</w:t>
      </w:r>
      <w:r>
        <w:rPr>
          <w:rFonts w:hint="eastAsia"/>
          <w:szCs w:val="21"/>
          <w:highlight w:val="none"/>
        </w:rPr>
        <w:t>月</w:t>
      </w:r>
      <w:r>
        <w:rPr>
          <w:szCs w:val="21"/>
          <w:highlight w:val="none"/>
        </w:rPr>
        <w:t>28</w:t>
      </w:r>
      <w:r>
        <w:rPr>
          <w:rFonts w:hint="eastAsia"/>
          <w:szCs w:val="21"/>
          <w:highlight w:val="none"/>
        </w:rPr>
        <w:t>日，作业类型为流刺网，沿海作业。为了保证捕捞海产品的鲜活，该船在驾驶室后露天甲板上安放一个活鱼箱，其容量为</w:t>
      </w:r>
      <w:r>
        <w:rPr>
          <w:szCs w:val="21"/>
          <w:highlight w:val="none"/>
        </w:rPr>
        <w:t>1.5m</w:t>
      </w:r>
      <w:r>
        <w:rPr>
          <w:rFonts w:hint="eastAsia"/>
          <w:szCs w:val="21"/>
          <w:highlight w:val="none"/>
        </w:rPr>
        <w:t>×</w:t>
      </w:r>
      <w:r>
        <w:rPr>
          <w:szCs w:val="21"/>
          <w:highlight w:val="none"/>
        </w:rPr>
        <w:t>0.8m</w:t>
      </w:r>
      <w:r>
        <w:rPr>
          <w:rFonts w:hint="eastAsia"/>
          <w:szCs w:val="21"/>
          <w:highlight w:val="none"/>
        </w:rPr>
        <w:t>×</w:t>
      </w:r>
      <w:r>
        <w:rPr>
          <w:szCs w:val="21"/>
          <w:highlight w:val="none"/>
        </w:rPr>
        <w:t>0.8m=0.96m</w:t>
      </w:r>
      <w:r>
        <w:rPr>
          <w:szCs w:val="21"/>
          <w:highlight w:val="none"/>
          <w:vertAlign w:val="superscript"/>
        </w:rPr>
        <w:t>3</w:t>
      </w:r>
      <w:r>
        <w:rPr>
          <w:rFonts w:hint="eastAsia"/>
          <w:szCs w:val="21"/>
          <w:highlight w:val="none"/>
        </w:rPr>
        <w:t>。</w:t>
      </w:r>
    </w:p>
    <w:p>
      <w:pPr>
        <w:autoSpaceDE w:val="0"/>
        <w:autoSpaceDN w:val="0"/>
        <w:adjustRightInd w:val="0"/>
        <w:jc w:val="left"/>
        <w:rPr>
          <w:szCs w:val="21"/>
          <w:highlight w:val="none"/>
        </w:rPr>
      </w:pPr>
      <w:r>
        <w:rPr>
          <w:rFonts w:hint="eastAsia"/>
          <w:szCs w:val="21"/>
          <w:highlight w:val="none"/>
        </w:rPr>
        <w:t>问：依据《</w:t>
      </w:r>
      <w:r>
        <w:rPr>
          <w:rFonts w:hint="eastAsia"/>
          <w:szCs w:val="21"/>
          <w:highlight w:val="none"/>
          <w:lang w:val="en-US" w:eastAsia="zh-CN"/>
        </w:rPr>
        <w:t>吨位丈量</w:t>
      </w:r>
      <w:r>
        <w:rPr>
          <w:rFonts w:hint="eastAsia"/>
          <w:szCs w:val="21"/>
          <w:highlight w:val="none"/>
        </w:rPr>
        <w:t>规则（20</w:t>
      </w:r>
      <w:r>
        <w:rPr>
          <w:rFonts w:hint="eastAsia"/>
          <w:szCs w:val="21"/>
          <w:highlight w:val="none"/>
          <w:lang w:val="en-US" w:eastAsia="zh-CN"/>
        </w:rPr>
        <w:t>22</w:t>
      </w:r>
      <w:r>
        <w:rPr>
          <w:rFonts w:hint="eastAsia"/>
          <w:szCs w:val="21"/>
          <w:highlight w:val="none"/>
        </w:rPr>
        <w:t>）》，该船改装后吨位是否应该重新丈量？说明其理由。</w:t>
      </w:r>
    </w:p>
    <w:p>
      <w:pPr>
        <w:autoSpaceDE w:val="0"/>
        <w:autoSpaceDN w:val="0"/>
        <w:adjustRightInd w:val="0"/>
        <w:jc w:val="left"/>
        <w:rPr>
          <w:szCs w:val="21"/>
        </w:rPr>
      </w:pPr>
      <w:r>
        <w:rPr>
          <w:rFonts w:hint="eastAsia"/>
          <w:szCs w:val="21"/>
        </w:rPr>
        <w:t>答案：</w:t>
      </w:r>
    </w:p>
    <w:p>
      <w:pPr>
        <w:autoSpaceDE w:val="0"/>
        <w:autoSpaceDN w:val="0"/>
        <w:adjustRightInd w:val="0"/>
        <w:ind w:firstLine="420" w:firstLineChars="200"/>
        <w:jc w:val="left"/>
        <w:rPr>
          <w:szCs w:val="21"/>
        </w:rPr>
      </w:pPr>
      <w:r>
        <w:rPr>
          <w:rFonts w:hint="eastAsia"/>
          <w:szCs w:val="21"/>
        </w:rPr>
        <w:t>不必重新丈量。</w:t>
      </w:r>
      <w:r>
        <w:rPr>
          <w:rFonts w:hint="eastAsia"/>
          <w:szCs w:val="21"/>
          <w:lang w:val="en-US" w:eastAsia="zh-CN"/>
        </w:rPr>
        <w:t>依据</w:t>
      </w:r>
      <w:r>
        <w:rPr>
          <w:rFonts w:hint="eastAsia"/>
          <w:szCs w:val="21"/>
        </w:rPr>
        <w:t>《</w:t>
      </w:r>
      <w:r>
        <w:rPr>
          <w:rFonts w:hint="eastAsia"/>
          <w:szCs w:val="21"/>
          <w:lang w:val="en-US" w:eastAsia="zh-CN"/>
        </w:rPr>
        <w:t>吨位丈量规则（2022</w:t>
      </w:r>
      <w:r>
        <w:rPr>
          <w:rFonts w:hint="eastAsia"/>
          <w:szCs w:val="21"/>
        </w:rPr>
        <w:t>）》规定</w:t>
      </w:r>
      <w:r>
        <w:rPr>
          <w:rFonts w:hint="eastAsia"/>
          <w:szCs w:val="21"/>
          <w:lang w:eastAsia="zh-CN"/>
        </w:rPr>
        <w:t>，</w:t>
      </w:r>
      <w:r>
        <w:rPr>
          <w:rFonts w:hint="eastAsia"/>
          <w:szCs w:val="21"/>
        </w:rPr>
        <w:t>位于上甲板以上的围蔽处所、突出体以及通海处所，若容积不超过</w:t>
      </w:r>
      <w:r>
        <w:rPr>
          <w:szCs w:val="21"/>
        </w:rPr>
        <w:t>1m</w:t>
      </w:r>
      <w:r>
        <w:rPr>
          <w:szCs w:val="21"/>
          <w:vertAlign w:val="superscript"/>
        </w:rPr>
        <w:t>3</w:t>
      </w:r>
      <w:r>
        <w:rPr>
          <w:rFonts w:hint="eastAsia"/>
          <w:szCs w:val="21"/>
        </w:rPr>
        <w:t>，则</w:t>
      </w:r>
      <w:r>
        <w:rPr>
          <w:rFonts w:hint="eastAsia"/>
          <w:szCs w:val="21"/>
          <w:lang w:val="en-US" w:eastAsia="zh-CN"/>
        </w:rPr>
        <w:t>可以不</w:t>
      </w:r>
      <w:r>
        <w:rPr>
          <w:rFonts w:hint="eastAsia"/>
          <w:szCs w:val="21"/>
        </w:rPr>
        <w:t>丈量。</w:t>
      </w:r>
    </w:p>
    <w:p>
      <w:pPr>
        <w:pStyle w:val="13"/>
        <w:numPr>
          <w:ilvl w:val="0"/>
          <w:numId w:val="1"/>
        </w:numPr>
        <w:autoSpaceDE w:val="0"/>
        <w:autoSpaceDN w:val="0"/>
        <w:adjustRightInd w:val="0"/>
        <w:ind w:firstLineChars="0"/>
        <w:jc w:val="left"/>
        <w:rPr>
          <w:szCs w:val="21"/>
          <w:highlight w:val="none"/>
        </w:rPr>
      </w:pPr>
      <w:r>
        <w:rPr>
          <w:rFonts w:hint="eastAsia"/>
          <w:szCs w:val="21"/>
          <w:highlight w:val="none"/>
        </w:rPr>
        <w:t>一艘总长</w:t>
      </w:r>
      <w:r>
        <w:rPr>
          <w:szCs w:val="21"/>
          <w:highlight w:val="none"/>
        </w:rPr>
        <w:t>12.45m</w:t>
      </w:r>
      <w:r>
        <w:rPr>
          <w:rFonts w:hint="eastAsia"/>
          <w:szCs w:val="21"/>
          <w:highlight w:val="none"/>
          <w:lang w:eastAsia="zh-CN"/>
        </w:rPr>
        <w:t>，</w:t>
      </w:r>
      <w:r>
        <w:rPr>
          <w:rFonts w:hint="eastAsia"/>
          <w:szCs w:val="21"/>
          <w:highlight w:val="none"/>
          <w:lang w:val="en-US" w:eastAsia="zh-CN"/>
        </w:rPr>
        <w:t>船长9.10m</w:t>
      </w:r>
      <w:r>
        <w:rPr>
          <w:rFonts w:hint="eastAsia"/>
          <w:szCs w:val="21"/>
          <w:highlight w:val="none"/>
        </w:rPr>
        <w:t>的钢质海洋</w:t>
      </w:r>
      <w:r>
        <w:rPr>
          <w:rFonts w:hint="eastAsia"/>
          <w:szCs w:val="21"/>
          <w:highlight w:val="none"/>
          <w:lang w:val="en-US" w:eastAsia="zh-CN"/>
        </w:rPr>
        <w:t>捕捞渔船</w:t>
      </w:r>
      <w:r>
        <w:rPr>
          <w:rFonts w:hint="eastAsia"/>
          <w:szCs w:val="21"/>
          <w:highlight w:val="none"/>
        </w:rPr>
        <w:t>，</w:t>
      </w:r>
      <w:r>
        <w:rPr>
          <w:rFonts w:hint="eastAsia"/>
          <w:szCs w:val="21"/>
          <w:highlight w:val="none"/>
          <w:lang w:val="en-US" w:eastAsia="zh-CN"/>
        </w:rPr>
        <w:t>开工建造</w:t>
      </w:r>
      <w:r>
        <w:rPr>
          <w:rFonts w:hint="eastAsia"/>
          <w:szCs w:val="21"/>
          <w:highlight w:val="none"/>
        </w:rPr>
        <w:t>日期为2</w:t>
      </w:r>
      <w:r>
        <w:rPr>
          <w:szCs w:val="21"/>
          <w:highlight w:val="none"/>
        </w:rPr>
        <w:t>01</w:t>
      </w:r>
      <w:r>
        <w:rPr>
          <w:rFonts w:hint="eastAsia"/>
          <w:szCs w:val="21"/>
          <w:highlight w:val="none"/>
          <w:lang w:val="en-US" w:eastAsia="zh-CN"/>
        </w:rPr>
        <w:t>9</w:t>
      </w:r>
      <w:r>
        <w:rPr>
          <w:rFonts w:hint="eastAsia"/>
          <w:szCs w:val="21"/>
          <w:highlight w:val="none"/>
        </w:rPr>
        <w:t>年</w:t>
      </w:r>
      <w:bookmarkStart w:id="0" w:name="_GoBack"/>
      <w:r>
        <w:rPr>
          <w:rFonts w:hint="eastAsia"/>
          <w:szCs w:val="21"/>
          <w:highlight w:val="none"/>
        </w:rPr>
        <w:t>4</w:t>
      </w:r>
      <w:bookmarkEnd w:id="0"/>
      <w:r>
        <w:rPr>
          <w:rFonts w:hint="eastAsia"/>
          <w:szCs w:val="21"/>
          <w:highlight w:val="none"/>
        </w:rPr>
        <w:t>月6日，夜间不航行作业。依据《国内海洋小型渔船法定检验技术规则（2019）》，该船是否需要安装号灯？若需要，则需安装哪种号灯？</w:t>
      </w:r>
    </w:p>
    <w:p>
      <w:pPr>
        <w:autoSpaceDE w:val="0"/>
        <w:autoSpaceDN w:val="0"/>
        <w:adjustRightInd w:val="0"/>
        <w:jc w:val="left"/>
        <w:rPr>
          <w:szCs w:val="21"/>
          <w:highlight w:val="none"/>
        </w:rPr>
      </w:pPr>
      <w:r>
        <w:rPr>
          <w:rFonts w:hint="eastAsia"/>
          <w:szCs w:val="21"/>
          <w:highlight w:val="none"/>
        </w:rPr>
        <w:t>答案：</w:t>
      </w:r>
    </w:p>
    <w:p>
      <w:pPr>
        <w:autoSpaceDE w:val="0"/>
        <w:autoSpaceDN w:val="0"/>
        <w:adjustRightInd w:val="0"/>
        <w:ind w:firstLine="420" w:firstLineChars="200"/>
        <w:jc w:val="left"/>
        <w:rPr>
          <w:szCs w:val="21"/>
        </w:rPr>
      </w:pPr>
      <w:r>
        <w:rPr>
          <w:rFonts w:hint="eastAsia"/>
          <w:szCs w:val="21"/>
        </w:rPr>
        <w:t>需要。依据《国内海洋小型渔船法定检验技术规则（2019）》，对夜间不航行、作业的船舶可免除锚灯以外的号灯。需要安装锚灯</w:t>
      </w:r>
      <w:r>
        <w:rPr>
          <w:rFonts w:hint="eastAsia"/>
          <w:szCs w:val="21"/>
          <w:lang w:eastAsia="zh-CN"/>
        </w:rPr>
        <w:t>，</w:t>
      </w:r>
      <w:r>
        <w:rPr>
          <w:rFonts w:hint="eastAsia"/>
          <w:szCs w:val="21"/>
          <w:lang w:val="en-US" w:eastAsia="zh-CN"/>
        </w:rPr>
        <w:t>其它号灯可免除</w:t>
      </w:r>
      <w:r>
        <w:rPr>
          <w:rFonts w:hint="eastAsia"/>
          <w:szCs w:val="21"/>
        </w:rPr>
        <w:t>。</w:t>
      </w:r>
    </w:p>
    <w:p>
      <w:pPr>
        <w:pStyle w:val="13"/>
        <w:numPr>
          <w:ilvl w:val="0"/>
          <w:numId w:val="1"/>
        </w:numPr>
        <w:autoSpaceDE w:val="0"/>
        <w:autoSpaceDN w:val="0"/>
        <w:adjustRightInd w:val="0"/>
        <w:ind w:firstLineChars="0"/>
        <w:jc w:val="left"/>
        <w:rPr>
          <w:szCs w:val="21"/>
          <w:highlight w:val="none"/>
        </w:rPr>
      </w:pPr>
      <w:r>
        <w:rPr>
          <w:rFonts w:hint="eastAsia"/>
          <w:szCs w:val="21"/>
          <w:highlight w:val="none"/>
        </w:rPr>
        <w:t>一艘钢质海洋流刺网渔船，总长</w:t>
      </w:r>
      <w:r>
        <w:rPr>
          <w:szCs w:val="21"/>
          <w:highlight w:val="none"/>
        </w:rPr>
        <w:t>14.90m</w:t>
      </w:r>
      <w:r>
        <w:rPr>
          <w:rFonts w:hint="eastAsia"/>
          <w:szCs w:val="21"/>
          <w:highlight w:val="none"/>
        </w:rPr>
        <w:t>，船长</w:t>
      </w:r>
      <w:r>
        <w:rPr>
          <w:szCs w:val="21"/>
          <w:highlight w:val="none"/>
        </w:rPr>
        <w:t>11.90m</w:t>
      </w:r>
      <w:r>
        <w:rPr>
          <w:rFonts w:hint="eastAsia"/>
          <w:szCs w:val="21"/>
          <w:highlight w:val="none"/>
        </w:rPr>
        <w:t>，型宽</w:t>
      </w:r>
      <w:r>
        <w:rPr>
          <w:szCs w:val="21"/>
          <w:highlight w:val="none"/>
        </w:rPr>
        <w:t>3.90m</w:t>
      </w:r>
      <w:r>
        <w:rPr>
          <w:rFonts w:hint="eastAsia"/>
          <w:szCs w:val="21"/>
          <w:highlight w:val="none"/>
        </w:rPr>
        <w:t>，型深</w:t>
      </w:r>
      <w:r>
        <w:rPr>
          <w:szCs w:val="21"/>
          <w:highlight w:val="none"/>
        </w:rPr>
        <w:t>1.20m</w:t>
      </w:r>
      <w:r>
        <w:rPr>
          <w:rFonts w:hint="eastAsia"/>
          <w:szCs w:val="21"/>
          <w:highlight w:val="none"/>
        </w:rPr>
        <w:t>，主机功率</w:t>
      </w:r>
      <w:r>
        <w:rPr>
          <w:szCs w:val="21"/>
          <w:highlight w:val="none"/>
        </w:rPr>
        <w:t>38kW</w:t>
      </w:r>
      <w:r>
        <w:rPr>
          <w:rFonts w:hint="eastAsia"/>
          <w:szCs w:val="21"/>
          <w:highlight w:val="none"/>
        </w:rPr>
        <w:t>，船员</w:t>
      </w:r>
      <w:r>
        <w:rPr>
          <w:szCs w:val="21"/>
          <w:highlight w:val="none"/>
        </w:rPr>
        <w:t>5</w:t>
      </w:r>
      <w:r>
        <w:rPr>
          <w:rFonts w:hint="eastAsia"/>
          <w:szCs w:val="21"/>
          <w:highlight w:val="none"/>
        </w:rPr>
        <w:t>人，</w:t>
      </w:r>
      <w:r>
        <w:rPr>
          <w:rFonts w:hint="eastAsia"/>
          <w:szCs w:val="21"/>
          <w:highlight w:val="none"/>
          <w:lang w:val="en-US" w:eastAsia="zh-CN"/>
        </w:rPr>
        <w:t>开工建造</w:t>
      </w:r>
      <w:r>
        <w:rPr>
          <w:rFonts w:hint="eastAsia"/>
          <w:szCs w:val="21"/>
          <w:highlight w:val="none"/>
        </w:rPr>
        <w:t>日期</w:t>
      </w:r>
      <w:r>
        <w:rPr>
          <w:rFonts w:hint="eastAsia"/>
          <w:szCs w:val="21"/>
          <w:highlight w:val="none"/>
          <w:lang w:val="en-US" w:eastAsia="zh-CN"/>
        </w:rPr>
        <w:t>为</w:t>
      </w:r>
      <w:r>
        <w:rPr>
          <w:szCs w:val="21"/>
          <w:highlight w:val="none"/>
        </w:rPr>
        <w:t>2020</w:t>
      </w:r>
      <w:r>
        <w:rPr>
          <w:rFonts w:hint="eastAsia"/>
          <w:szCs w:val="21"/>
          <w:highlight w:val="none"/>
        </w:rPr>
        <w:t>年</w:t>
      </w:r>
      <w:r>
        <w:rPr>
          <w:szCs w:val="21"/>
          <w:highlight w:val="none"/>
        </w:rPr>
        <w:t>2</w:t>
      </w:r>
      <w:r>
        <w:rPr>
          <w:rFonts w:hint="eastAsia"/>
          <w:szCs w:val="21"/>
          <w:highlight w:val="none"/>
        </w:rPr>
        <w:t>月</w:t>
      </w:r>
      <w:r>
        <w:rPr>
          <w:szCs w:val="21"/>
          <w:highlight w:val="none"/>
        </w:rPr>
        <w:t>16</w:t>
      </w:r>
      <w:r>
        <w:rPr>
          <w:rFonts w:hint="eastAsia"/>
          <w:szCs w:val="21"/>
          <w:highlight w:val="none"/>
        </w:rPr>
        <w:t>日</w:t>
      </w:r>
      <w:r>
        <w:rPr>
          <w:rFonts w:hint="eastAsia"/>
          <w:szCs w:val="21"/>
          <w:highlight w:val="none"/>
          <w:lang w:eastAsia="zh-CN"/>
        </w:rPr>
        <w:t>，</w:t>
      </w:r>
      <w:r>
        <w:rPr>
          <w:rFonts w:hint="eastAsia"/>
          <w:szCs w:val="21"/>
          <w:highlight w:val="none"/>
          <w:lang w:val="en-US" w:eastAsia="zh-CN"/>
        </w:rPr>
        <w:t>完工日期为2020年10月8日</w:t>
      </w:r>
      <w:r>
        <w:rPr>
          <w:rFonts w:hint="eastAsia"/>
          <w:szCs w:val="21"/>
          <w:highlight w:val="none"/>
        </w:rPr>
        <w:t>。初次检验时</w:t>
      </w:r>
      <w:r>
        <w:rPr>
          <w:rFonts w:hint="eastAsia"/>
          <w:szCs w:val="21"/>
          <w:highlight w:val="none"/>
          <w:lang w:val="en-US" w:eastAsia="zh-CN"/>
        </w:rPr>
        <w:t>设计人员</w:t>
      </w:r>
      <w:r>
        <w:rPr>
          <w:rFonts w:hint="eastAsia"/>
          <w:szCs w:val="21"/>
          <w:highlight w:val="none"/>
        </w:rPr>
        <w:t>核算该船的稳性。在确认船舶的干舷</w:t>
      </w:r>
      <w:r>
        <w:rPr>
          <w:szCs w:val="21"/>
          <w:highlight w:val="none"/>
        </w:rPr>
        <w:t>F</w:t>
      </w:r>
      <w:r>
        <w:rPr>
          <w:rFonts w:hint="eastAsia"/>
          <w:szCs w:val="21"/>
          <w:highlight w:val="none"/>
        </w:rPr>
        <w:t>＝</w:t>
      </w:r>
      <w:r>
        <w:rPr>
          <w:szCs w:val="21"/>
          <w:highlight w:val="none"/>
        </w:rPr>
        <w:t>0.42m</w:t>
      </w:r>
      <w:r>
        <w:rPr>
          <w:rFonts w:hint="eastAsia"/>
          <w:szCs w:val="21"/>
          <w:highlight w:val="none"/>
        </w:rPr>
        <w:t>，大于等于</w:t>
      </w:r>
      <w:r>
        <w:rPr>
          <w:szCs w:val="21"/>
          <w:highlight w:val="none"/>
        </w:rPr>
        <w:t>0.1B</w:t>
      </w:r>
      <w:r>
        <w:rPr>
          <w:rFonts w:hint="eastAsia"/>
          <w:szCs w:val="21"/>
          <w:highlight w:val="none"/>
        </w:rPr>
        <w:t>＝</w:t>
      </w:r>
      <w:r>
        <w:rPr>
          <w:szCs w:val="21"/>
          <w:highlight w:val="none"/>
        </w:rPr>
        <w:t>0.39m</w:t>
      </w:r>
      <w:r>
        <w:rPr>
          <w:rFonts w:hint="eastAsia"/>
          <w:szCs w:val="21"/>
          <w:highlight w:val="none"/>
        </w:rPr>
        <w:t>，并且船上总人数</w:t>
      </w:r>
      <w:r>
        <w:rPr>
          <w:szCs w:val="21"/>
          <w:highlight w:val="none"/>
        </w:rPr>
        <w:t>5</w:t>
      </w:r>
      <w:r>
        <w:rPr>
          <w:rFonts w:hint="eastAsia"/>
          <w:szCs w:val="21"/>
          <w:highlight w:val="none"/>
        </w:rPr>
        <w:t>人不超过</w:t>
      </w:r>
      <w:r>
        <w:rPr>
          <w:szCs w:val="21"/>
          <w:highlight w:val="none"/>
        </w:rPr>
        <w:t>2+</w:t>
      </w:r>
      <w:r>
        <w:rPr>
          <w:rFonts w:hint="eastAsia"/>
          <w:szCs w:val="21"/>
          <w:highlight w:val="none"/>
        </w:rPr>
        <w:t>船长</w:t>
      </w:r>
      <w:r>
        <w:rPr>
          <w:szCs w:val="21"/>
          <w:highlight w:val="none"/>
        </w:rPr>
        <w:t>/3</w:t>
      </w:r>
      <w:r>
        <w:rPr>
          <w:rFonts w:hint="eastAsia"/>
          <w:szCs w:val="21"/>
          <w:highlight w:val="none"/>
        </w:rPr>
        <w:t>＝</w:t>
      </w:r>
      <w:r>
        <w:rPr>
          <w:szCs w:val="21"/>
          <w:highlight w:val="none"/>
        </w:rPr>
        <w:t>5</w:t>
      </w:r>
      <w:r>
        <w:rPr>
          <w:rFonts w:hint="eastAsia"/>
          <w:szCs w:val="21"/>
          <w:highlight w:val="none"/>
        </w:rPr>
        <w:t>人后，认为可以免于核算该渔船的稳性。</w:t>
      </w:r>
      <w:r>
        <w:rPr>
          <w:rFonts w:hint="eastAsia"/>
          <w:szCs w:val="21"/>
          <w:highlight w:val="none"/>
          <w:lang w:val="en-US" w:eastAsia="zh-CN"/>
        </w:rPr>
        <w:t>依据</w:t>
      </w:r>
      <w:r>
        <w:rPr>
          <w:rFonts w:hint="eastAsia"/>
          <w:szCs w:val="21"/>
          <w:highlight w:val="none"/>
        </w:rPr>
        <w:t>《国内海洋小型渔船法定检验技术规则（2019）》</w:t>
      </w:r>
      <w:r>
        <w:rPr>
          <w:rFonts w:hint="eastAsia"/>
          <w:szCs w:val="21"/>
          <w:highlight w:val="none"/>
          <w:lang w:eastAsia="zh-CN"/>
        </w:rPr>
        <w:t>，</w:t>
      </w:r>
      <w:r>
        <w:rPr>
          <w:rFonts w:hint="eastAsia"/>
          <w:szCs w:val="21"/>
          <w:highlight w:val="none"/>
        </w:rPr>
        <w:t>该</w:t>
      </w:r>
      <w:r>
        <w:rPr>
          <w:rFonts w:hint="eastAsia"/>
          <w:szCs w:val="21"/>
          <w:highlight w:val="none"/>
          <w:lang w:val="en-US" w:eastAsia="zh-CN"/>
        </w:rPr>
        <w:t>设计人员</w:t>
      </w:r>
      <w:r>
        <w:rPr>
          <w:rFonts w:hint="eastAsia"/>
          <w:szCs w:val="21"/>
          <w:highlight w:val="none"/>
        </w:rPr>
        <w:t>的判断是否正确？为什么？</w:t>
      </w:r>
    </w:p>
    <w:p>
      <w:pPr>
        <w:autoSpaceDE w:val="0"/>
        <w:autoSpaceDN w:val="0"/>
        <w:adjustRightInd w:val="0"/>
        <w:jc w:val="left"/>
        <w:rPr>
          <w:szCs w:val="21"/>
        </w:rPr>
      </w:pPr>
      <w:r>
        <w:rPr>
          <w:rFonts w:hint="eastAsia"/>
          <w:szCs w:val="21"/>
        </w:rPr>
        <w:t>答案：</w:t>
      </w:r>
    </w:p>
    <w:p>
      <w:pPr>
        <w:autoSpaceDE w:val="0"/>
        <w:autoSpaceDN w:val="0"/>
        <w:adjustRightInd w:val="0"/>
        <w:ind w:firstLine="420" w:firstLineChars="200"/>
        <w:jc w:val="left"/>
        <w:rPr>
          <w:szCs w:val="21"/>
        </w:rPr>
      </w:pPr>
      <w:r>
        <w:rPr>
          <w:rFonts w:hint="eastAsia"/>
          <w:szCs w:val="21"/>
        </w:rPr>
        <w:t>不正确。</w:t>
      </w:r>
    </w:p>
    <w:p>
      <w:pPr>
        <w:autoSpaceDE w:val="0"/>
        <w:autoSpaceDN w:val="0"/>
        <w:adjustRightInd w:val="0"/>
        <w:ind w:firstLine="420" w:firstLineChars="200"/>
        <w:jc w:val="left"/>
        <w:rPr>
          <w:szCs w:val="21"/>
        </w:rPr>
      </w:pPr>
      <w:r>
        <w:rPr>
          <w:rFonts w:hint="eastAsia"/>
          <w:szCs w:val="21"/>
        </w:rPr>
        <w:t>尚应核查其它的免于核算稳性的条件。《国内海洋小型渔船法定检验技术规则（2019）》中给定的免除条件有</w:t>
      </w:r>
      <w:r>
        <w:rPr>
          <w:szCs w:val="21"/>
        </w:rPr>
        <w:t>5</w:t>
      </w:r>
      <w:r>
        <w:rPr>
          <w:rFonts w:hint="eastAsia"/>
          <w:szCs w:val="21"/>
        </w:rPr>
        <w:t>项。本案中验船师仅核查了其中的</w:t>
      </w:r>
      <w:r>
        <w:rPr>
          <w:szCs w:val="21"/>
        </w:rPr>
        <w:t>2</w:t>
      </w:r>
      <w:r>
        <w:rPr>
          <w:rFonts w:hint="eastAsia"/>
          <w:szCs w:val="21"/>
        </w:rPr>
        <w:t>项，并不完全</w:t>
      </w:r>
      <w:r>
        <w:rPr>
          <w:rFonts w:hint="eastAsia"/>
          <w:szCs w:val="21"/>
          <w:lang w:val="en-US" w:eastAsia="zh-CN"/>
        </w:rPr>
        <w:t>满足条件</w:t>
      </w:r>
      <w:r>
        <w:rPr>
          <w:rFonts w:hint="eastAsia"/>
          <w:szCs w:val="21"/>
        </w:rPr>
        <w:t>，据此做出免于核算该船稳性的决定是不正确的。</w:t>
      </w:r>
    </w:p>
    <w:p>
      <w:pPr>
        <w:autoSpaceDE w:val="0"/>
        <w:autoSpaceDN w:val="0"/>
        <w:adjustRightInd w:val="0"/>
        <w:ind w:firstLine="420" w:firstLineChars="200"/>
        <w:jc w:val="left"/>
        <w:rPr>
          <w:szCs w:val="21"/>
        </w:rPr>
      </w:pPr>
      <w:r>
        <w:rPr>
          <w:rFonts w:hint="eastAsia"/>
          <w:szCs w:val="21"/>
        </w:rPr>
        <w:t>还应核查：</w:t>
      </w:r>
    </w:p>
    <w:p>
      <w:pPr>
        <w:autoSpaceDE w:val="0"/>
        <w:autoSpaceDN w:val="0"/>
        <w:adjustRightInd w:val="0"/>
        <w:ind w:firstLine="420" w:firstLineChars="200"/>
        <w:jc w:val="left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1</w:t>
      </w:r>
      <w:r>
        <w:rPr>
          <w:rFonts w:hint="eastAsia"/>
          <w:szCs w:val="21"/>
        </w:rPr>
        <w:t>）型宽吃水比是否满足条件。</w:t>
      </w:r>
    </w:p>
    <w:p>
      <w:pPr>
        <w:autoSpaceDE w:val="0"/>
        <w:autoSpaceDN w:val="0"/>
        <w:adjustRightInd w:val="0"/>
        <w:ind w:firstLine="420" w:firstLineChars="200"/>
        <w:jc w:val="left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2</w:t>
      </w:r>
      <w:r>
        <w:rPr>
          <w:rFonts w:hint="eastAsia"/>
          <w:szCs w:val="21"/>
        </w:rPr>
        <w:t>）设在连续甲板上的甲板室总长度应不大于</w:t>
      </w:r>
      <w:r>
        <w:rPr>
          <w:szCs w:val="21"/>
        </w:rPr>
        <w:t>0.4</w:t>
      </w:r>
      <w:r>
        <w:rPr>
          <w:i/>
          <w:szCs w:val="21"/>
        </w:rPr>
        <w:t>L</w:t>
      </w:r>
      <w:r>
        <w:rPr>
          <w:rFonts w:hint="eastAsia"/>
          <w:szCs w:val="21"/>
        </w:rPr>
        <w:t>，其高度应不大于</w:t>
      </w:r>
      <w:r>
        <w:rPr>
          <w:szCs w:val="21"/>
        </w:rPr>
        <w:t>1.8m</w:t>
      </w:r>
      <w:r>
        <w:rPr>
          <w:rFonts w:hint="eastAsia"/>
          <w:szCs w:val="21"/>
        </w:rPr>
        <w:t>，且不大于</w:t>
      </w:r>
      <w:r>
        <w:rPr>
          <w:i/>
          <w:szCs w:val="21"/>
        </w:rPr>
        <w:t>B</w:t>
      </w:r>
      <w:r>
        <w:rPr>
          <w:szCs w:val="21"/>
        </w:rPr>
        <w:t>/2</w:t>
      </w:r>
      <w:r>
        <w:rPr>
          <w:rFonts w:hint="eastAsia"/>
          <w:szCs w:val="21"/>
        </w:rPr>
        <w:t>。从连续甲板量起，顶层甲板的最大高度应不大于</w:t>
      </w:r>
      <w:r>
        <w:rPr>
          <w:szCs w:val="21"/>
        </w:rPr>
        <w:t>0.7B</w:t>
      </w:r>
      <w:r>
        <w:rPr>
          <w:rFonts w:hint="eastAsia"/>
          <w:szCs w:val="21"/>
        </w:rPr>
        <w:t>，且不大于</w:t>
      </w:r>
      <w:r>
        <w:rPr>
          <w:szCs w:val="21"/>
        </w:rPr>
        <w:t>2.5m</w:t>
      </w:r>
      <w:r>
        <w:rPr>
          <w:rFonts w:hint="eastAsia"/>
          <w:szCs w:val="21"/>
        </w:rPr>
        <w:t>；其长度不大于</w:t>
      </w:r>
      <w:r>
        <w:rPr>
          <w:i/>
          <w:szCs w:val="21"/>
        </w:rPr>
        <w:t>L</w:t>
      </w:r>
      <w:r>
        <w:rPr>
          <w:szCs w:val="21"/>
        </w:rPr>
        <w:t>/6</w:t>
      </w:r>
      <w:r>
        <w:rPr>
          <w:rFonts w:hint="eastAsia"/>
          <w:szCs w:val="21"/>
        </w:rPr>
        <w:t>，且不大于</w:t>
      </w:r>
      <w:r>
        <w:rPr>
          <w:szCs w:val="21"/>
        </w:rPr>
        <w:t>2.5m</w:t>
      </w:r>
      <w:r>
        <w:rPr>
          <w:rFonts w:hint="eastAsia"/>
          <w:szCs w:val="21"/>
        </w:rPr>
        <w:t>。</w:t>
      </w:r>
    </w:p>
    <w:p>
      <w:pPr>
        <w:autoSpaceDE w:val="0"/>
        <w:autoSpaceDN w:val="0"/>
        <w:adjustRightInd w:val="0"/>
        <w:ind w:firstLine="420" w:firstLineChars="200"/>
        <w:jc w:val="left"/>
        <w:rPr>
          <w:rFonts w:hint="eastAsia"/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3</w:t>
      </w:r>
      <w:r>
        <w:rPr>
          <w:rFonts w:hint="eastAsia"/>
          <w:szCs w:val="21"/>
        </w:rPr>
        <w:t>）</w:t>
      </w:r>
      <w:r>
        <w:rPr>
          <w:rFonts w:hint="eastAsia"/>
          <w:szCs w:val="21"/>
          <w:lang w:val="en-US" w:eastAsia="zh-CN"/>
        </w:rPr>
        <w:t>船舶检验机构</w:t>
      </w:r>
      <w:r>
        <w:rPr>
          <w:rFonts w:hint="eastAsia"/>
          <w:szCs w:val="21"/>
        </w:rPr>
        <w:t>视船舶的具体情况提出的其他的必要限制。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F0A738E"/>
    <w:multiLevelType w:val="multilevel"/>
    <w:tmpl w:val="1F0A738E"/>
    <w:lvl w:ilvl="0" w:tentative="0">
      <w:start w:val="1"/>
      <w:numFmt w:val="decimal"/>
      <w:suff w:val="space"/>
      <w:lvlText w:val="%1."/>
      <w:lvlJc w:val="left"/>
      <w:pPr>
        <w:ind w:left="0" w:firstLine="0"/>
      </w:pPr>
      <w:rPr>
        <w:rFonts w:hint="eastAsia"/>
      </w:rPr>
    </w:lvl>
    <w:lvl w:ilvl="1" w:tentative="0">
      <w:start w:val="1"/>
      <w:numFmt w:val="decimal"/>
      <w:lvlText w:val="（%2）"/>
      <w:lvlJc w:val="left"/>
      <w:pPr>
        <w:ind w:left="1140" w:hanging="720"/>
      </w:pPr>
      <w:rPr>
        <w:lang w:val="en-US"/>
      </w:r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17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JjMTQ0ZTExYzk0ZmQwNmE3NTAyOTRmMzJlM2M3OWYifQ=="/>
  </w:docVars>
  <w:rsids>
    <w:rsidRoot w:val="008974D8"/>
    <w:rsid w:val="000B77BB"/>
    <w:rsid w:val="000F6B0E"/>
    <w:rsid w:val="00142BEE"/>
    <w:rsid w:val="001E64BB"/>
    <w:rsid w:val="003A0249"/>
    <w:rsid w:val="004140A3"/>
    <w:rsid w:val="00485C9C"/>
    <w:rsid w:val="004D19E8"/>
    <w:rsid w:val="004F03EC"/>
    <w:rsid w:val="0053633B"/>
    <w:rsid w:val="006858AE"/>
    <w:rsid w:val="00710371"/>
    <w:rsid w:val="007738EE"/>
    <w:rsid w:val="007A50A0"/>
    <w:rsid w:val="008418A9"/>
    <w:rsid w:val="008974D8"/>
    <w:rsid w:val="008D3D74"/>
    <w:rsid w:val="008E2946"/>
    <w:rsid w:val="009C67DC"/>
    <w:rsid w:val="009F545A"/>
    <w:rsid w:val="00A42220"/>
    <w:rsid w:val="00A7682C"/>
    <w:rsid w:val="00AE4E9E"/>
    <w:rsid w:val="00B430A5"/>
    <w:rsid w:val="00B75CAA"/>
    <w:rsid w:val="00B91EED"/>
    <w:rsid w:val="00BE65FB"/>
    <w:rsid w:val="00C4150E"/>
    <w:rsid w:val="00C62283"/>
    <w:rsid w:val="00D1543E"/>
    <w:rsid w:val="00D472C5"/>
    <w:rsid w:val="00D71188"/>
    <w:rsid w:val="00D97C41"/>
    <w:rsid w:val="00E26188"/>
    <w:rsid w:val="00E77144"/>
    <w:rsid w:val="00E94E02"/>
    <w:rsid w:val="00EA3591"/>
    <w:rsid w:val="00F00225"/>
    <w:rsid w:val="00F22662"/>
    <w:rsid w:val="00F613DB"/>
    <w:rsid w:val="00F762F7"/>
    <w:rsid w:val="00FD3CD6"/>
    <w:rsid w:val="00FF6F78"/>
    <w:rsid w:val="02750DD1"/>
    <w:rsid w:val="12493EEB"/>
    <w:rsid w:val="13B41253"/>
    <w:rsid w:val="1B4A440F"/>
    <w:rsid w:val="25C31937"/>
    <w:rsid w:val="2FEF374E"/>
    <w:rsid w:val="30AE488D"/>
    <w:rsid w:val="381B6E3B"/>
    <w:rsid w:val="3AFD61EB"/>
    <w:rsid w:val="428D7865"/>
    <w:rsid w:val="47B95F39"/>
    <w:rsid w:val="50286949"/>
    <w:rsid w:val="5606112A"/>
    <w:rsid w:val="587104AA"/>
    <w:rsid w:val="65E75DB2"/>
    <w:rsid w:val="66E14363"/>
    <w:rsid w:val="67445963"/>
    <w:rsid w:val="6B83149A"/>
    <w:rsid w:val="73892148"/>
    <w:rsid w:val="77A00B99"/>
    <w:rsid w:val="78D4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6"/>
    <w:unhideWhenUsed/>
    <w:qFormat/>
    <w:uiPriority w:val="99"/>
    <w:pPr>
      <w:jc w:val="left"/>
    </w:pPr>
  </w:style>
  <w:style w:type="paragraph" w:styleId="3">
    <w:name w:val="Plain Text"/>
    <w:basedOn w:val="1"/>
    <w:link w:val="14"/>
    <w:semiHidden/>
    <w:unhideWhenUsed/>
    <w:qFormat/>
    <w:uiPriority w:val="0"/>
    <w:rPr>
      <w:rFonts w:ascii="宋体" w:hAnsi="Courier New" w:eastAsiaTheme="minorEastAsia" w:cstheme="minorBidi"/>
      <w:szCs w:val="22"/>
    </w:rPr>
  </w:style>
  <w:style w:type="paragraph" w:styleId="4">
    <w:name w:val="Balloon Text"/>
    <w:basedOn w:val="1"/>
    <w:link w:val="18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annotation subject"/>
    <w:basedOn w:val="2"/>
    <w:next w:val="2"/>
    <w:link w:val="17"/>
    <w:semiHidden/>
    <w:unhideWhenUsed/>
    <w:qFormat/>
    <w:uiPriority w:val="99"/>
    <w:rPr>
      <w:b/>
      <w:bCs/>
    </w:rPr>
  </w:style>
  <w:style w:type="character" w:styleId="10">
    <w:name w:val="annotation reference"/>
    <w:basedOn w:val="9"/>
    <w:semiHidden/>
    <w:unhideWhenUsed/>
    <w:qFormat/>
    <w:uiPriority w:val="99"/>
    <w:rPr>
      <w:sz w:val="21"/>
      <w:szCs w:val="21"/>
    </w:rPr>
  </w:style>
  <w:style w:type="character" w:customStyle="1" w:styleId="11">
    <w:name w:val="页眉 字符"/>
    <w:basedOn w:val="9"/>
    <w:link w:val="6"/>
    <w:qFormat/>
    <w:uiPriority w:val="99"/>
    <w:rPr>
      <w:sz w:val="18"/>
      <w:szCs w:val="18"/>
    </w:rPr>
  </w:style>
  <w:style w:type="character" w:customStyle="1" w:styleId="12">
    <w:name w:val="页脚 字符"/>
    <w:basedOn w:val="9"/>
    <w:link w:val="5"/>
    <w:qFormat/>
    <w:uiPriority w:val="99"/>
    <w:rPr>
      <w:sz w:val="18"/>
      <w:szCs w:val="18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character" w:customStyle="1" w:styleId="14">
    <w:name w:val="纯文本 字符"/>
    <w:basedOn w:val="9"/>
    <w:link w:val="3"/>
    <w:semiHidden/>
    <w:qFormat/>
    <w:uiPriority w:val="0"/>
    <w:rPr>
      <w:rFonts w:ascii="宋体" w:hAnsi="Courier New"/>
    </w:rPr>
  </w:style>
  <w:style w:type="paragraph" w:customStyle="1" w:styleId="15">
    <w:name w:val="Revision"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16">
    <w:name w:val="批注文字 字符"/>
    <w:basedOn w:val="9"/>
    <w:link w:val="2"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17">
    <w:name w:val="批注主题 字符"/>
    <w:basedOn w:val="16"/>
    <w:link w:val="7"/>
    <w:semiHidden/>
    <w:qFormat/>
    <w:uiPriority w:val="99"/>
    <w:rPr>
      <w:rFonts w:ascii="Times New Roman" w:hAnsi="Times New Roman" w:eastAsia="宋体" w:cs="Times New Roman"/>
      <w:b/>
      <w:bCs/>
      <w:szCs w:val="24"/>
    </w:rPr>
  </w:style>
  <w:style w:type="character" w:customStyle="1" w:styleId="18">
    <w:name w:val="批注框文本 字符"/>
    <w:basedOn w:val="9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1000</Words>
  <Characters>1159</Characters>
  <Lines>8</Lines>
  <Paragraphs>2</Paragraphs>
  <TotalTime>62</TotalTime>
  <ScaleCrop>false</ScaleCrop>
  <LinksUpToDate>false</LinksUpToDate>
  <CharactersWithSpaces>1159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2023-08-02T06:06:00Z</dcterms:created>
  <dc:creator>Lsy</dc:creator>
  <cp:lastModifiedBy>jsyj-ysc2</cp:lastModifiedBy>
  <dcterms:modified xsi:type="dcterms:W3CDTF">2023-09-02T01:59:23Z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7A7ACBB1ACA641FA85AC28B22311734A_12</vt:lpwstr>
  </property>
</Properties>
</file>